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December, 2015</w:t>
      </w:r>
    </w:p>
    <w:p>
      <w:pPr>
        <w:spacing w:after="0" w:line="200" w:lineRule="exact"/>
        <w:rPr>
          <w:sz w:val="24"/>
          <w:szCs w:val="24"/>
          <w:color w:val="auto"/>
        </w:rPr>
      </w:pPr>
    </w:p>
    <w:p>
      <w:pPr>
        <w:spacing w:after="0" w:line="228"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41"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ind w:right="-19"/>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00" w:lineRule="exact"/>
        <w:rPr>
          <w:sz w:val="24"/>
          <w:szCs w:val="24"/>
          <w:color w:val="auto"/>
        </w:rPr>
      </w:pPr>
    </w:p>
    <w:p>
      <w:pPr>
        <w:spacing w:after="0" w:line="274"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29"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December 22, 2015</w:t>
      </w:r>
    </w:p>
    <w:p>
      <w:pPr>
        <w:spacing w:after="0" w:line="23" w:lineRule="exact"/>
        <w:rPr>
          <w:sz w:val="20"/>
          <w:szCs w:val="20"/>
          <w:color w:val="auto"/>
        </w:rPr>
      </w:pPr>
    </w:p>
    <w:p>
      <w:pPr>
        <w:ind w:left="6820"/>
        <w:spacing w:after="0"/>
        <w:rPr>
          <w:sz w:val="20"/>
          <w:szCs w:val="20"/>
          <w:color w:val="auto"/>
        </w:rPr>
      </w:pPr>
      <w:r>
        <w:rPr>
          <w:rFonts w:ascii="Arial" w:cs="Arial" w:eastAsia="Arial" w:hAnsi="Arial"/>
          <w:sz w:val="18"/>
          <w:szCs w:val="18"/>
          <w:color w:val="auto"/>
        </w:rPr>
        <w:t>FOREIGN TRADE BANK OF LATIN AMERICA, INC.</w:t>
      </w:r>
    </w:p>
    <w:p>
      <w:pPr>
        <w:spacing w:after="0" w:line="200" w:lineRule="exact"/>
        <w:rPr>
          <w:sz w:val="20"/>
          <w:szCs w:val="20"/>
          <w:color w:val="auto"/>
        </w:rPr>
      </w:pPr>
    </w:p>
    <w:p>
      <w:pPr>
        <w:spacing w:after="0" w:line="227" w:lineRule="exact"/>
        <w:rPr>
          <w:sz w:val="20"/>
          <w:szCs w:val="20"/>
          <w:color w:val="auto"/>
        </w:rPr>
      </w:pPr>
    </w:p>
    <w:p>
      <w:pPr>
        <w:ind w:left="6820"/>
        <w:spacing w:after="0"/>
        <w:rPr>
          <w:sz w:val="20"/>
          <w:szCs w:val="20"/>
          <w:color w:val="auto"/>
        </w:rPr>
      </w:pPr>
      <w:r>
        <w:rPr>
          <w:rFonts w:ascii="Arial" w:cs="Arial" w:eastAsia="Arial" w:hAnsi="Arial"/>
          <w:sz w:val="18"/>
          <w:szCs w:val="18"/>
          <w:color w:val="auto"/>
        </w:rPr>
        <w:t>By: /s/ Pierre Dulin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4549775</wp:posOffset>
            </wp:positionH>
            <wp:positionV relativeFrom="paragraph">
              <wp:posOffset>-10160</wp:posOffset>
            </wp:positionV>
            <wp:extent cx="98425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984250" cy="8890"/>
                    </a:xfrm>
                    <a:prstGeom prst="rect">
                      <a:avLst/>
                    </a:prstGeom>
                    <a:noFill/>
                  </pic:spPr>
                </pic:pic>
              </a:graphicData>
            </a:graphic>
          </wp:anchor>
        </w:drawing>
      </w:r>
    </w:p>
    <w:p>
      <w:pPr>
        <w:spacing w:after="0" w:line="3" w:lineRule="exact"/>
        <w:rPr>
          <w:sz w:val="20"/>
          <w:szCs w:val="20"/>
          <w:color w:val="auto"/>
        </w:rPr>
      </w:pPr>
    </w:p>
    <w:p>
      <w:pPr>
        <w:ind w:left="7140"/>
        <w:spacing w:after="0"/>
        <w:rPr>
          <w:sz w:val="20"/>
          <w:szCs w:val="20"/>
          <w:color w:val="auto"/>
        </w:rPr>
      </w:pPr>
      <w:r>
        <w:rPr>
          <w:rFonts w:ascii="Arial" w:cs="Arial" w:eastAsia="Arial" w:hAnsi="Arial"/>
          <w:sz w:val="18"/>
          <w:szCs w:val="18"/>
          <w:color w:val="auto"/>
        </w:rPr>
        <w:t>Name: Pierre Dulin</w:t>
      </w:r>
    </w:p>
    <w:p>
      <w:pPr>
        <w:spacing w:after="0" w:line="9" w:lineRule="exact"/>
        <w:rPr>
          <w:sz w:val="20"/>
          <w:szCs w:val="20"/>
          <w:color w:val="auto"/>
        </w:rPr>
      </w:pPr>
    </w:p>
    <w:p>
      <w:pPr>
        <w:ind w:left="714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743585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21" w:right="2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2972435</wp:posOffset>
            </wp:positionH>
            <wp:positionV relativeFrom="paragraph">
              <wp:posOffset>17145</wp:posOffset>
            </wp:positionV>
            <wp:extent cx="1320800" cy="8318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320800" cy="831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right="40"/>
        <w:spacing w:after="0" w:line="282" w:lineRule="auto"/>
        <w:rPr>
          <w:sz w:val="20"/>
          <w:szCs w:val="20"/>
          <w:color w:val="auto"/>
        </w:rPr>
      </w:pPr>
      <w:r>
        <w:rPr>
          <w:rFonts w:ascii="Arial" w:cs="Arial" w:eastAsia="Arial" w:hAnsi="Arial"/>
          <w:sz w:val="18"/>
          <w:szCs w:val="18"/>
          <w:b w:val="1"/>
          <w:bCs w:val="1"/>
          <w:color w:val="auto"/>
        </w:rPr>
        <w:t>Bladex leads successful syndication of a US$50 million 3-Year Senior Unsecured Term Loan Facility for BICSA - Banco Internacional de Costa Rica, S.A. (Panama)</w:t>
      </w:r>
    </w:p>
    <w:p>
      <w:pPr>
        <w:spacing w:after="0" w:line="162" w:lineRule="exact"/>
        <w:rPr>
          <w:sz w:val="20"/>
          <w:szCs w:val="20"/>
          <w:color w:val="auto"/>
        </w:rPr>
      </w:pPr>
    </w:p>
    <w:p>
      <w:pPr>
        <w:jc w:val="both"/>
        <w:spacing w:after="0" w:line="313" w:lineRule="auto"/>
        <w:rPr>
          <w:sz w:val="20"/>
          <w:szCs w:val="20"/>
          <w:color w:val="auto"/>
        </w:rPr>
      </w:pPr>
      <w:r>
        <w:rPr>
          <w:rFonts w:ascii="Arial" w:cs="Arial" w:eastAsia="Arial" w:hAnsi="Arial"/>
          <w:sz w:val="17"/>
          <w:szCs w:val="17"/>
          <w:b w:val="1"/>
          <w:bCs w:val="1"/>
          <w:color w:val="auto"/>
        </w:rPr>
        <w:t xml:space="preserve">Panama City, Republic of Panama, December 22, 2015 - </w:t>
      </w:r>
      <w:r>
        <w:rPr>
          <w:rFonts w:ascii="Arial" w:cs="Arial" w:eastAsia="Arial" w:hAnsi="Arial"/>
          <w:sz w:val="17"/>
          <w:szCs w:val="17"/>
          <w:color w:val="auto"/>
        </w:rPr>
        <w:t>Banco Latinoamericano de Comercio Exterior, S.A. (“</w:t>
      </w:r>
      <w:r>
        <w:rPr>
          <w:rFonts w:ascii="Arial" w:cs="Arial" w:eastAsia="Arial" w:hAnsi="Arial"/>
          <w:sz w:val="17"/>
          <w:szCs w:val="17"/>
          <w:b w:val="1"/>
          <w:bCs w:val="1"/>
          <w:color w:val="auto"/>
        </w:rPr>
        <w:t>Bladex</w:t>
      </w:r>
      <w:r>
        <w:rPr>
          <w:rFonts w:ascii="Arial" w:cs="Arial" w:eastAsia="Arial" w:hAnsi="Arial"/>
          <w:sz w:val="17"/>
          <w:szCs w:val="17"/>
          <w:color w:val="auto"/>
        </w:rPr>
        <w:t>” or the “Bank”; NYSE: BLX)</w:t>
      </w:r>
      <w:r>
        <w:rPr>
          <w:rFonts w:ascii="Arial" w:cs="Arial" w:eastAsia="Arial" w:hAnsi="Arial"/>
          <w:sz w:val="17"/>
          <w:szCs w:val="17"/>
          <w:b w:val="1"/>
          <w:bCs w:val="1"/>
          <w:color w:val="auto"/>
        </w:rPr>
        <w:t xml:space="preserve"> </w:t>
      </w:r>
      <w:r>
        <w:rPr>
          <w:rFonts w:ascii="Arial" w:cs="Arial" w:eastAsia="Arial" w:hAnsi="Arial"/>
          <w:sz w:val="17"/>
          <w:szCs w:val="17"/>
          <w:color w:val="auto"/>
        </w:rPr>
        <w:t>announced today the closing of a US$50 million, 3-Year Senior Unsecured Term Loan Facility for Banco Internacional de Costa Rica S.A. (“</w:t>
      </w:r>
      <w:r>
        <w:rPr>
          <w:rFonts w:ascii="Arial" w:cs="Arial" w:eastAsia="Arial" w:hAnsi="Arial"/>
          <w:sz w:val="17"/>
          <w:szCs w:val="17"/>
          <w:b w:val="1"/>
          <w:bCs w:val="1"/>
          <w:color w:val="auto"/>
        </w:rPr>
        <w:t>BICSA</w:t>
      </w:r>
      <w:r>
        <w:rPr>
          <w:rFonts w:ascii="Arial" w:cs="Arial" w:eastAsia="Arial" w:hAnsi="Arial"/>
          <w:sz w:val="17"/>
          <w:szCs w:val="17"/>
          <w:color w:val="auto"/>
        </w:rPr>
        <w:t>”).</w:t>
      </w:r>
    </w:p>
    <w:p>
      <w:pPr>
        <w:spacing w:after="0" w:line="138"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BICSA </w:t>
      </w:r>
      <w:r>
        <w:rPr>
          <w:rFonts w:ascii="Arial" w:cs="Arial" w:eastAsia="Arial" w:hAnsi="Arial"/>
          <w:sz w:val="18"/>
          <w:szCs w:val="18"/>
          <w:color w:val="auto"/>
        </w:rPr>
        <w:t>is a bank established in Panama and owned by Banco de Costa Rica and Banco Nacional de Costa Rica, the two largest state-owned banks in Costa</w:t>
      </w:r>
      <w:r>
        <w:rPr>
          <w:rFonts w:ascii="Arial" w:cs="Arial" w:eastAsia="Arial" w:hAnsi="Arial"/>
          <w:sz w:val="18"/>
          <w:szCs w:val="18"/>
          <w:b w:val="1"/>
          <w:bCs w:val="1"/>
          <w:color w:val="auto"/>
        </w:rPr>
        <w:t xml:space="preserve"> </w:t>
      </w:r>
      <w:r>
        <w:rPr>
          <w:rFonts w:ascii="Arial" w:cs="Arial" w:eastAsia="Arial" w:hAnsi="Arial"/>
          <w:sz w:val="18"/>
          <w:szCs w:val="18"/>
          <w:color w:val="auto"/>
        </w:rPr>
        <w:t xml:space="preserve">Rica. </w:t>
      </w:r>
      <w:r>
        <w:rPr>
          <w:rFonts w:ascii="Arial" w:cs="Arial" w:eastAsia="Arial" w:hAnsi="Arial"/>
          <w:sz w:val="18"/>
          <w:szCs w:val="18"/>
          <w:b w:val="1"/>
          <w:bCs w:val="1"/>
          <w:color w:val="auto"/>
        </w:rPr>
        <w:t>BICSA</w:t>
      </w:r>
      <w:r>
        <w:rPr>
          <w:rFonts w:ascii="Arial" w:cs="Arial" w:eastAsia="Arial" w:hAnsi="Arial"/>
          <w:sz w:val="18"/>
          <w:szCs w:val="18"/>
          <w:color w:val="auto"/>
        </w:rPr>
        <w:t xml:space="preserve"> has a strong footprint in Central America, with representative offices in Costa Rica, El Salvador, Guatemala, and Nicaragua, in addition to an agency in Miami. </w:t>
      </w:r>
      <w:r>
        <w:rPr>
          <w:rFonts w:ascii="Arial" w:cs="Arial" w:eastAsia="Arial" w:hAnsi="Arial"/>
          <w:sz w:val="18"/>
          <w:szCs w:val="18"/>
          <w:b w:val="1"/>
          <w:bCs w:val="1"/>
          <w:color w:val="auto"/>
        </w:rPr>
        <w:t>BICSA</w:t>
      </w:r>
      <w:r>
        <w:rPr>
          <w:rFonts w:ascii="Arial" w:cs="Arial" w:eastAsia="Arial" w:hAnsi="Arial"/>
          <w:sz w:val="18"/>
          <w:szCs w:val="18"/>
          <w:color w:val="auto"/>
        </w:rPr>
        <w:t xml:space="preserve"> is one of the leading banks in foreign trade transactions in Central America.</w:t>
      </w:r>
    </w:p>
    <w:p>
      <w:pPr>
        <w:spacing w:after="0" w:line="176"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was the Sole Lead Arranger and Bookrunner, and Administrative Agent for the Facility. The deal constitutes the second syndicated facility arranged</w:t>
      </w:r>
      <w:r>
        <w:rPr>
          <w:rFonts w:ascii="Arial" w:cs="Arial" w:eastAsia="Arial" w:hAnsi="Arial"/>
          <w:sz w:val="18"/>
          <w:szCs w:val="18"/>
          <w:b w:val="1"/>
          <w:bCs w:val="1"/>
          <w:color w:val="auto"/>
        </w:rPr>
        <w:t xml:space="preserve"> </w:t>
      </w:r>
      <w:r>
        <w:rPr>
          <w:rFonts w:ascii="Arial" w:cs="Arial" w:eastAsia="Arial" w:hAnsi="Arial"/>
          <w:sz w:val="18"/>
          <w:szCs w:val="18"/>
          <w:color w:val="auto"/>
        </w:rPr>
        <w:t xml:space="preserve">by </w:t>
      </w:r>
      <w:r>
        <w:rPr>
          <w:rFonts w:ascii="Arial" w:cs="Arial" w:eastAsia="Arial" w:hAnsi="Arial"/>
          <w:sz w:val="18"/>
          <w:szCs w:val="18"/>
          <w:b w:val="1"/>
          <w:bCs w:val="1"/>
          <w:color w:val="auto"/>
        </w:rPr>
        <w:t>Bladex</w:t>
      </w:r>
      <w:r>
        <w:rPr>
          <w:rFonts w:ascii="Arial" w:cs="Arial" w:eastAsia="Arial" w:hAnsi="Arial"/>
          <w:sz w:val="18"/>
          <w:szCs w:val="18"/>
          <w:color w:val="auto"/>
        </w:rPr>
        <w:t xml:space="preserve"> in the last three years for </w:t>
      </w:r>
      <w:r>
        <w:rPr>
          <w:rFonts w:ascii="Arial" w:cs="Arial" w:eastAsia="Arial" w:hAnsi="Arial"/>
          <w:sz w:val="18"/>
          <w:szCs w:val="18"/>
          <w:b w:val="1"/>
          <w:bCs w:val="1"/>
          <w:color w:val="auto"/>
        </w:rPr>
        <w:t>BICSA</w:t>
      </w:r>
      <w:r>
        <w:rPr>
          <w:rFonts w:ascii="Arial" w:cs="Arial" w:eastAsia="Arial" w:hAnsi="Arial"/>
          <w:sz w:val="18"/>
          <w:szCs w:val="18"/>
          <w:color w:val="auto"/>
        </w:rPr>
        <w:t>.</w:t>
      </w:r>
    </w:p>
    <w:p>
      <w:pPr>
        <w:spacing w:after="0" w:line="166"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 xml:space="preserve">The transaction attracted several financial institutions from the United States of America, Curaçao, Panama, Trinidad and Tobago, and Chile, of which the majority represent new business relationships for </w:t>
      </w:r>
      <w:r>
        <w:rPr>
          <w:rFonts w:ascii="Arial" w:cs="Arial" w:eastAsia="Arial" w:hAnsi="Arial"/>
          <w:sz w:val="17"/>
          <w:szCs w:val="17"/>
          <w:b w:val="1"/>
          <w:bCs w:val="1"/>
          <w:color w:val="auto"/>
        </w:rPr>
        <w:t>BICSA</w:t>
      </w:r>
      <w:r>
        <w:rPr>
          <w:rFonts w:ascii="Arial" w:cs="Arial" w:eastAsia="Arial" w:hAnsi="Arial"/>
          <w:sz w:val="17"/>
          <w:szCs w:val="17"/>
          <w:color w:val="auto"/>
        </w:rPr>
        <w:t>. Proceeds of the loan will be used to support the growth of the bank’s business activities.</w:t>
      </w:r>
    </w:p>
    <w:p>
      <w:pPr>
        <w:spacing w:after="0" w:line="143" w:lineRule="exact"/>
        <w:rPr>
          <w:sz w:val="20"/>
          <w:szCs w:val="20"/>
          <w:color w:val="auto"/>
        </w:rPr>
      </w:pPr>
    </w:p>
    <w:p>
      <w:pPr>
        <w:jc w:val="both"/>
        <w:ind w:right="20"/>
        <w:spacing w:after="0" w:line="282"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continues to be very active in the Latin American structured loan market. The deal marks the seventh syndicated/club loan successfully arranged and</w:t>
      </w:r>
      <w:r>
        <w:rPr>
          <w:rFonts w:ascii="Arial" w:cs="Arial" w:eastAsia="Arial" w:hAnsi="Arial"/>
          <w:sz w:val="18"/>
          <w:szCs w:val="18"/>
          <w:b w:val="1"/>
          <w:bCs w:val="1"/>
          <w:color w:val="auto"/>
        </w:rPr>
        <w:t xml:space="preserve"> </w:t>
      </w:r>
      <w:r>
        <w:rPr>
          <w:rFonts w:ascii="Arial" w:cs="Arial" w:eastAsia="Arial" w:hAnsi="Arial"/>
          <w:sz w:val="18"/>
          <w:szCs w:val="18"/>
          <w:color w:val="auto"/>
        </w:rPr>
        <w:t>closed by the Bank during the year 2015.</w:t>
      </w:r>
    </w:p>
    <w:p>
      <w:pPr>
        <w:spacing w:after="0" w:line="162" w:lineRule="exact"/>
        <w:rPr>
          <w:sz w:val="20"/>
          <w:szCs w:val="20"/>
          <w:color w:val="auto"/>
        </w:rPr>
      </w:pPr>
    </w:p>
    <w:p>
      <w:pPr>
        <w:jc w:val="both"/>
        <w:spacing w:after="0" w:line="282"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is a multinational bank established by the central banks of Latin-American and Caribbean countries, to promote foreign trade finance and economic</w:t>
      </w:r>
      <w:r>
        <w:rPr>
          <w:rFonts w:ascii="Arial" w:cs="Arial" w:eastAsia="Arial" w:hAnsi="Arial"/>
          <w:sz w:val="18"/>
          <w:szCs w:val="18"/>
          <w:b w:val="1"/>
          <w:bCs w:val="1"/>
          <w:color w:val="auto"/>
        </w:rPr>
        <w:t xml:space="preserve"> </w:t>
      </w:r>
      <w:r>
        <w:rPr>
          <w:rFonts w:ascii="Arial" w:cs="Arial" w:eastAsia="Arial" w:hAnsi="Arial"/>
          <w:sz w:val="18"/>
          <w:szCs w:val="18"/>
          <w:color w:val="auto"/>
        </w:rPr>
        <w:t xml:space="preserve">integration in the region. </w:t>
      </w:r>
      <w:r>
        <w:rPr>
          <w:rFonts w:ascii="Arial" w:cs="Arial" w:eastAsia="Arial" w:hAnsi="Arial"/>
          <w:sz w:val="18"/>
          <w:szCs w:val="18"/>
          <w:b w:val="1"/>
          <w:bCs w:val="1"/>
          <w:color w:val="auto"/>
        </w:rPr>
        <w:t>Bladex</w:t>
      </w:r>
      <w:r>
        <w:rPr>
          <w:rFonts w:ascii="Arial" w:cs="Arial" w:eastAsia="Arial" w:hAnsi="Arial"/>
          <w:sz w:val="18"/>
          <w:szCs w:val="18"/>
          <w:color w:val="auto"/>
        </w:rPr>
        <w:t xml:space="preserve"> is listed on the New York Stock Exchange in the United States (ticker symbol: BLX).</w:t>
      </w:r>
    </w:p>
    <w:p>
      <w:pPr>
        <w:spacing w:after="0" w:line="162" w:lineRule="exact"/>
        <w:rPr>
          <w:sz w:val="20"/>
          <w:szCs w:val="20"/>
          <w:color w:val="auto"/>
        </w:rPr>
      </w:pPr>
    </w:p>
    <w:p>
      <w:pPr>
        <w:jc w:val="both"/>
        <w:ind w:right="20"/>
        <w:spacing w:after="0" w:line="282" w:lineRule="auto"/>
        <w:rPr>
          <w:sz w:val="20"/>
          <w:szCs w:val="20"/>
          <w:color w:val="auto"/>
        </w:rPr>
      </w:pPr>
      <w:r>
        <w:rPr>
          <w:rFonts w:ascii="Arial" w:cs="Arial" w:eastAsia="Arial" w:hAnsi="Arial"/>
          <w:sz w:val="18"/>
          <w:szCs w:val="18"/>
          <w:b w:val="1"/>
          <w:bCs w:val="1"/>
          <w:color w:val="auto"/>
        </w:rPr>
        <w:t xml:space="preserve">Bladex´s </w:t>
      </w:r>
      <w:r>
        <w:rPr>
          <w:rFonts w:ascii="Arial" w:cs="Arial" w:eastAsia="Arial" w:hAnsi="Arial"/>
          <w:sz w:val="18"/>
          <w:szCs w:val="18"/>
          <w:color w:val="auto"/>
        </w:rPr>
        <w:t>shareholders include central banks, state-owned banks and entities representing 23 Latin American countries, as well as commercial banks and</w:t>
      </w:r>
      <w:r>
        <w:rPr>
          <w:rFonts w:ascii="Arial" w:cs="Arial" w:eastAsia="Arial" w:hAnsi="Arial"/>
          <w:sz w:val="18"/>
          <w:szCs w:val="18"/>
          <w:b w:val="1"/>
          <w:bCs w:val="1"/>
          <w:color w:val="auto"/>
        </w:rPr>
        <w:t xml:space="preserve"> </w:t>
      </w:r>
      <w:r>
        <w:rPr>
          <w:rFonts w:ascii="Arial" w:cs="Arial" w:eastAsia="Arial" w:hAnsi="Arial"/>
          <w:sz w:val="18"/>
          <w:szCs w:val="18"/>
          <w:color w:val="auto"/>
        </w:rPr>
        <w:t>financial institutions, institutional and retail investors through its public listing.</w:t>
      </w:r>
    </w:p>
    <w:p>
      <w:pPr>
        <w:spacing w:after="0" w:line="166"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Bladex’s website at </w:t>
      </w:r>
      <w:r>
        <w:rPr>
          <w:rFonts w:ascii="Arial" w:cs="Arial" w:eastAsia="Arial" w:hAnsi="Arial"/>
          <w:sz w:val="18"/>
          <w:szCs w:val="18"/>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8407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40740"/>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Mr. Christopher Schech, Chief Financial Officer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 xml:space="preserve">Tel: (+507) 210-8630, E-mail address: </w:t>
      </w:r>
      <w:r>
        <w:rPr>
          <w:rFonts w:ascii="Arial" w:cs="Arial" w:eastAsia="Arial" w:hAnsi="Arial"/>
          <w:sz w:val="18"/>
          <w:szCs w:val="18"/>
          <w:color w:val="0000FF"/>
        </w:rPr>
        <w:t>cschech@bladex.com</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Bladex, Head Office, Torre V, Business Park, Avenida La Rotonda, Urbanización Costa del Este,</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751840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175"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2020-01-25T12:43:13Z</dcterms:created>
  <dcterms:modified xsi:type="dcterms:W3CDTF">2020-01-25T12:43:13Z</dcterms:modified>
</cp:coreProperties>
</file>